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450" w:beforeAutospacing="0" w:after="300" w:afterAutospacing="0" w:line="540" w:lineRule="atLeast"/>
        <w:jc w:val="center"/>
        <w:textAlignment w:val="baseline"/>
        <w:rPr>
          <w:rFonts w:ascii="inherit" w:hAnsi="inherit" w:eastAsia="微软雅黑"/>
          <w:color w:val="383940"/>
          <w:sz w:val="39"/>
          <w:szCs w:val="39"/>
        </w:rPr>
      </w:pPr>
      <w:r>
        <w:rPr>
          <w:rFonts w:ascii="inherit" w:hAnsi="inherit" w:eastAsia="微软雅黑"/>
          <w:color w:val="383940"/>
          <w:sz w:val="39"/>
          <w:szCs w:val="39"/>
        </w:rPr>
        <w:t>北京化工大学昌平校区第二教学楼智慧班牌系统及电子时钟系统建设项目设备购置公开招标公告</w:t>
      </w:r>
    </w:p>
    <w:p>
      <w:pPr>
        <w:pStyle w:val="3"/>
        <w:shd w:val="clear" w:color="auto" w:fill="FFFFFF"/>
        <w:spacing w:before="0" w:beforeAutospacing="0" w:after="0" w:afterAutospacing="0" w:line="480" w:lineRule="atLeast"/>
        <w:textAlignment w:val="baseline"/>
        <w:rPr>
          <w:rFonts w:ascii="inherit" w:hAnsi="inherit" w:eastAsia="微软雅黑"/>
          <w:color w:val="383838"/>
        </w:rPr>
      </w:pPr>
      <w:r>
        <w:rPr>
          <w:rFonts w:ascii="inherit" w:hAnsi="inherit" w:eastAsia="微软雅黑"/>
          <w:color w:val="383838"/>
        </w:rPr>
        <w:t>项目概况</w:t>
      </w:r>
    </w:p>
    <w:p>
      <w:pPr>
        <w:shd w:val="clear" w:color="auto" w:fill="FFFFFF"/>
        <w:spacing w:line="480" w:lineRule="atLeast"/>
        <w:textAlignment w:val="baseline"/>
        <w:rPr>
          <w:rFonts w:ascii="inherit" w:hAnsi="inherit" w:eastAsia="微软雅黑"/>
          <w:color w:val="383838"/>
        </w:rPr>
      </w:pPr>
      <w:r>
        <w:rPr>
          <w:rFonts w:ascii="inherit" w:hAnsi="inherit" w:eastAsia="微软雅黑"/>
          <w:color w:val="383838"/>
        </w:rPr>
        <w:t>北京化工大学昌平校区第二教学楼智慧班牌系统及电子时钟系统建设项目设备购置 招标项目的潜在投标人应在北京市海淀区文慧园北路10号，中教仪总公司北师大办公楼509室获取招标文件，并于2020年08月18日 09点00分（北京时间）前递交投标文件。</w:t>
      </w:r>
    </w:p>
    <w:p>
      <w:pPr>
        <w:pStyle w:val="6"/>
        <w:shd w:val="clear" w:color="auto" w:fill="FFFFFF"/>
        <w:spacing w:before="0" w:beforeAutospacing="0" w:after="0" w:afterAutospacing="0" w:line="480" w:lineRule="atLeast"/>
        <w:textAlignment w:val="baseline"/>
        <w:rPr>
          <w:rFonts w:ascii="inherit" w:hAnsi="inherit" w:eastAsia="微软雅黑"/>
          <w:color w:val="383838"/>
        </w:rPr>
      </w:pPr>
      <w:r>
        <w:rPr>
          <w:rStyle w:val="9"/>
          <w:rFonts w:ascii="inherit" w:hAnsi="inherit" w:eastAsia="微软雅黑"/>
          <w:color w:val="383838"/>
        </w:rPr>
        <w:t>一、项目基本情况</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项目编号：BUCTXXQWZ20200401</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项目名称：北京化工大学昌平校区第二教学楼智慧班牌系统及电子时钟系统建设项目设备购置</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预算金额：124.2 万元（人民币）</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最高限价（如有）： 万元（人民币）</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采购需求：</w:t>
      </w:r>
    </w:p>
    <w:tbl>
      <w:tblPr>
        <w:tblStyle w:val="7"/>
        <w:tblW w:w="0" w:type="auto"/>
        <w:jc w:val="center"/>
        <w:tblLayout w:type="autofit"/>
        <w:tblCellMar>
          <w:top w:w="0" w:type="dxa"/>
          <w:left w:w="0" w:type="dxa"/>
          <w:bottom w:w="0" w:type="dxa"/>
          <w:right w:w="0" w:type="dxa"/>
        </w:tblCellMar>
      </w:tblPr>
      <w:tblGrid>
        <w:gridCol w:w="681"/>
        <w:gridCol w:w="758"/>
        <w:gridCol w:w="2163"/>
        <w:gridCol w:w="1190"/>
        <w:gridCol w:w="1543"/>
        <w:gridCol w:w="955"/>
        <w:gridCol w:w="1232"/>
      </w:tblGrid>
      <w:tr>
        <w:tblPrEx>
          <w:tblCellMar>
            <w:top w:w="0" w:type="dxa"/>
            <w:left w:w="0" w:type="dxa"/>
            <w:bottom w:w="0" w:type="dxa"/>
            <w:right w:w="0" w:type="dxa"/>
          </w:tblCellMar>
        </w:tblPrEx>
        <w:trPr>
          <w:trHeight w:val="30" w:hRule="atLeast"/>
          <w:tblHeader/>
          <w:jc w:val="center"/>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6"/>
              <w:spacing w:before="0" w:beforeAutospacing="0" w:after="0" w:afterAutospacing="0"/>
              <w:jc w:val="center"/>
              <w:textAlignment w:val="baseline"/>
              <w:rPr>
                <w:b/>
                <w:bCs/>
              </w:rPr>
            </w:pPr>
            <w:bookmarkStart w:id="0" w:name="OLE_LINK3"/>
            <w:r>
              <w:rPr>
                <w:rStyle w:val="9"/>
                <w:rFonts w:ascii="inherit" w:hAnsi="inherit" w:eastAsia="微软雅黑"/>
                <w:color w:val="02396F"/>
                <w:sz w:val="21"/>
                <w:szCs w:val="21"/>
              </w:rPr>
              <w:t>包号</w:t>
            </w:r>
            <w:bookmarkEnd w:id="0"/>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spacing w:before="0" w:beforeAutospacing="0" w:after="0" w:afterAutospacing="0"/>
              <w:jc w:val="center"/>
              <w:textAlignment w:val="baseline"/>
              <w:rPr>
                <w:b/>
                <w:bCs/>
              </w:rPr>
            </w:pPr>
            <w:r>
              <w:rPr>
                <w:rStyle w:val="9"/>
                <w:rFonts w:ascii="inherit" w:hAnsi="inherit"/>
              </w:rPr>
              <w:t>序号</w:t>
            </w:r>
          </w:p>
        </w:tc>
        <w:tc>
          <w:tcPr>
            <w:tcW w:w="24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spacing w:before="0" w:beforeAutospacing="0" w:after="0" w:afterAutospacing="0"/>
              <w:jc w:val="center"/>
              <w:textAlignment w:val="baseline"/>
              <w:rPr>
                <w:b/>
                <w:bCs/>
              </w:rPr>
            </w:pPr>
            <w:r>
              <w:rPr>
                <w:rStyle w:val="9"/>
                <w:rFonts w:ascii="inherit" w:hAnsi="inherit"/>
              </w:rPr>
              <w:t>采购内容</w:t>
            </w:r>
          </w:p>
        </w:tc>
        <w:tc>
          <w:tcPr>
            <w:tcW w:w="12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spacing w:before="0" w:beforeAutospacing="0" w:after="0" w:afterAutospacing="0"/>
              <w:jc w:val="center"/>
              <w:textAlignment w:val="baseline"/>
              <w:rPr>
                <w:b/>
                <w:bCs/>
              </w:rPr>
            </w:pPr>
            <w:r>
              <w:rPr>
                <w:rStyle w:val="9"/>
                <w:rFonts w:ascii="inherit" w:hAnsi="inherit"/>
              </w:rPr>
              <w:t>数量</w:t>
            </w:r>
          </w:p>
          <w:p>
            <w:pPr>
              <w:pStyle w:val="6"/>
              <w:spacing w:before="0" w:beforeAutospacing="0" w:after="0" w:afterAutospacing="0"/>
              <w:jc w:val="center"/>
              <w:textAlignment w:val="baseline"/>
              <w:rPr>
                <w:b/>
                <w:bCs/>
              </w:rPr>
            </w:pPr>
            <w:r>
              <w:rPr>
                <w:rStyle w:val="9"/>
                <w:rFonts w:ascii="inherit" w:hAnsi="inherit"/>
              </w:rPr>
              <w:t>（台/套）</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spacing w:before="0" w:beforeAutospacing="0" w:after="0" w:afterAutospacing="0"/>
              <w:ind w:left="-63" w:right="-63"/>
              <w:jc w:val="center"/>
              <w:textAlignment w:val="baseline"/>
              <w:rPr>
                <w:b/>
                <w:bCs/>
              </w:rPr>
            </w:pPr>
            <w:r>
              <w:rPr>
                <w:rStyle w:val="9"/>
                <w:rFonts w:ascii="inherit" w:hAnsi="inherit"/>
              </w:rPr>
              <w:t>交货期</w:t>
            </w:r>
          </w:p>
          <w:p>
            <w:pPr>
              <w:pStyle w:val="6"/>
              <w:spacing w:before="0" w:beforeAutospacing="0" w:after="0" w:afterAutospacing="0"/>
              <w:ind w:left="-63" w:right="-63"/>
              <w:jc w:val="center"/>
              <w:textAlignment w:val="baseline"/>
              <w:rPr>
                <w:b/>
                <w:bCs/>
              </w:rPr>
            </w:pPr>
            <w:r>
              <w:rPr>
                <w:rStyle w:val="9"/>
                <w:rFonts w:ascii="inherit" w:hAnsi="inherit"/>
              </w:rPr>
              <w:t>（含安装）</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spacing w:before="0" w:beforeAutospacing="0" w:after="0" w:afterAutospacing="0"/>
              <w:ind w:left="-94" w:right="-94"/>
              <w:jc w:val="center"/>
              <w:textAlignment w:val="baseline"/>
              <w:rPr>
                <w:b/>
                <w:bCs/>
              </w:rPr>
            </w:pPr>
            <w:r>
              <w:rPr>
                <w:rStyle w:val="9"/>
                <w:rFonts w:ascii="inherit" w:hAnsi="inherit"/>
              </w:rPr>
              <w:t>控制金额</w:t>
            </w:r>
          </w:p>
          <w:p>
            <w:pPr>
              <w:pStyle w:val="6"/>
              <w:spacing w:before="0" w:beforeAutospacing="0" w:after="0" w:afterAutospacing="0"/>
              <w:ind w:left="-84" w:right="-84"/>
              <w:jc w:val="center"/>
              <w:textAlignment w:val="baseline"/>
              <w:rPr>
                <w:b/>
                <w:bCs/>
              </w:rPr>
            </w:pPr>
            <w:r>
              <w:rPr>
                <w:rStyle w:val="9"/>
                <w:rFonts w:ascii="inherit" w:hAnsi="inherit"/>
              </w:rPr>
              <w:t>（万元）</w:t>
            </w:r>
          </w:p>
        </w:tc>
        <w:tc>
          <w:tcPr>
            <w:tcW w:w="13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6"/>
              <w:spacing w:before="0" w:beforeAutospacing="0" w:after="0" w:afterAutospacing="0"/>
              <w:ind w:left="-63" w:right="-63"/>
              <w:jc w:val="center"/>
              <w:textAlignment w:val="baseline"/>
              <w:rPr>
                <w:b/>
                <w:bCs/>
              </w:rPr>
            </w:pPr>
            <w:r>
              <w:rPr>
                <w:rStyle w:val="9"/>
                <w:rFonts w:ascii="inherit" w:hAnsi="inherit"/>
              </w:rPr>
              <w:t>是否允许采购进口产品</w:t>
            </w:r>
          </w:p>
        </w:tc>
      </w:tr>
      <w:tr>
        <w:tblPrEx>
          <w:tblCellMar>
            <w:top w:w="0" w:type="dxa"/>
            <w:left w:w="0" w:type="dxa"/>
            <w:bottom w:w="0" w:type="dxa"/>
            <w:right w:w="0" w:type="dxa"/>
          </w:tblCellMar>
        </w:tblPrEx>
        <w:trPr>
          <w:trHeight w:val="420" w:hRule="atLeast"/>
          <w:tblHeader/>
          <w:jc w:val="center"/>
        </w:trPr>
        <w:tc>
          <w:tcPr>
            <w:tcW w:w="72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01</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1</w:t>
            </w:r>
          </w:p>
        </w:tc>
        <w:tc>
          <w:tcPr>
            <w:tcW w:w="241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智慧空间管理分控系统</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1</w:t>
            </w:r>
          </w:p>
        </w:tc>
        <w:tc>
          <w:tcPr>
            <w:tcW w:w="1710" w:type="dxa"/>
            <w:vMerge w:val="restart"/>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签订合同之日起60天内</w:t>
            </w:r>
          </w:p>
        </w:tc>
        <w:tc>
          <w:tcPr>
            <w:tcW w:w="990" w:type="dxa"/>
            <w:vMerge w:val="restart"/>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0" w:beforeAutospacing="0" w:after="0" w:afterAutospacing="0"/>
              <w:ind w:left="-94" w:right="-94"/>
              <w:jc w:val="center"/>
              <w:textAlignment w:val="baseline"/>
              <w:rPr>
                <w:b/>
                <w:bCs/>
              </w:rPr>
            </w:pPr>
            <w:r>
              <w:rPr>
                <w:b/>
                <w:bCs/>
              </w:rPr>
              <w:t>124.20</w:t>
            </w:r>
          </w:p>
        </w:tc>
        <w:tc>
          <w:tcPr>
            <w:tcW w:w="136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0" w:beforeAutospacing="0" w:after="0" w:afterAutospacing="0"/>
              <w:ind w:left="-63" w:right="-63"/>
              <w:jc w:val="center"/>
              <w:textAlignment w:val="baseline"/>
              <w:rPr>
                <w:b/>
                <w:bCs/>
              </w:rPr>
            </w:pPr>
            <w:r>
              <w:rPr>
                <w:b/>
                <w:bCs/>
              </w:rPr>
              <w:t>否</w:t>
            </w:r>
          </w:p>
        </w:tc>
      </w:tr>
      <w:tr>
        <w:tblPrEx>
          <w:tblCellMar>
            <w:top w:w="0" w:type="dxa"/>
            <w:left w:w="0" w:type="dxa"/>
            <w:bottom w:w="0" w:type="dxa"/>
            <w:right w:w="0" w:type="dxa"/>
          </w:tblCellMar>
        </w:tblPrEx>
        <w:trPr>
          <w:trHeight w:val="420" w:hRule="atLeast"/>
          <w:tblHeader/>
          <w:jc w:val="center"/>
        </w:trPr>
        <w:tc>
          <w:tcPr>
            <w:tcW w:w="0" w:type="auto"/>
            <w:vMerge w:val="continue"/>
            <w:tcBorders>
              <w:top w:val="nil"/>
              <w:left w:val="single" w:color="auto" w:sz="8" w:space="0"/>
              <w:bottom w:val="single" w:color="auto" w:sz="8" w:space="0"/>
              <w:right w:val="single" w:color="auto" w:sz="8" w:space="0"/>
            </w:tcBorders>
            <w:vAlign w:val="bottom"/>
          </w:tcPr>
          <w:p>
            <w:pPr>
              <w:rPr>
                <w:rFonts w:ascii="宋体" w:hAnsi="宋体" w:eastAsia="宋体" w:cs="宋体"/>
                <w:b/>
                <w:bCs/>
                <w:sz w:val="24"/>
                <w:szCs w:val="24"/>
              </w:rPr>
            </w:pP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2</w:t>
            </w:r>
          </w:p>
        </w:tc>
        <w:tc>
          <w:tcPr>
            <w:tcW w:w="241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电子班牌显示终端</w:t>
            </w:r>
            <w:r>
              <w:rPr>
                <w:b/>
                <w:bCs/>
              </w:rPr>
              <w:br w:type="textWrapping"/>
            </w:r>
            <w:r>
              <w:rPr>
                <w:b/>
                <w:bCs/>
              </w:rPr>
              <w:t>（核心设备）</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110</w:t>
            </w: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136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否</w:t>
            </w:r>
          </w:p>
        </w:tc>
      </w:tr>
      <w:tr>
        <w:tblPrEx>
          <w:tblCellMar>
            <w:top w:w="0" w:type="dxa"/>
            <w:left w:w="0" w:type="dxa"/>
            <w:bottom w:w="0" w:type="dxa"/>
            <w:right w:w="0" w:type="dxa"/>
          </w:tblCellMar>
        </w:tblPrEx>
        <w:trPr>
          <w:trHeight w:val="420" w:hRule="atLeast"/>
          <w:tblHeader/>
          <w:jc w:val="center"/>
        </w:trPr>
        <w:tc>
          <w:tcPr>
            <w:tcW w:w="0" w:type="auto"/>
            <w:vMerge w:val="continue"/>
            <w:tcBorders>
              <w:top w:val="nil"/>
              <w:left w:val="single" w:color="auto" w:sz="8" w:space="0"/>
              <w:bottom w:val="single" w:color="auto" w:sz="8" w:space="0"/>
              <w:right w:val="single" w:color="auto" w:sz="8" w:space="0"/>
            </w:tcBorders>
            <w:vAlign w:val="bottom"/>
          </w:tcPr>
          <w:p>
            <w:pPr>
              <w:rPr>
                <w:rFonts w:ascii="宋体" w:hAnsi="宋体" w:eastAsia="宋体" w:cs="宋体"/>
                <w:b/>
                <w:bCs/>
                <w:sz w:val="24"/>
                <w:szCs w:val="24"/>
              </w:rPr>
            </w:pP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3</w:t>
            </w:r>
          </w:p>
        </w:tc>
        <w:tc>
          <w:tcPr>
            <w:tcW w:w="241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电子班牌终端管理软件</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110</w:t>
            </w: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136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否</w:t>
            </w:r>
          </w:p>
        </w:tc>
      </w:tr>
      <w:tr>
        <w:tblPrEx>
          <w:tblCellMar>
            <w:top w:w="0" w:type="dxa"/>
            <w:left w:w="0" w:type="dxa"/>
            <w:bottom w:w="0" w:type="dxa"/>
            <w:right w:w="0" w:type="dxa"/>
          </w:tblCellMar>
        </w:tblPrEx>
        <w:trPr>
          <w:trHeight w:val="420" w:hRule="atLeast"/>
          <w:tblHeader/>
          <w:jc w:val="center"/>
        </w:trPr>
        <w:tc>
          <w:tcPr>
            <w:tcW w:w="0" w:type="auto"/>
            <w:vMerge w:val="continue"/>
            <w:tcBorders>
              <w:top w:val="nil"/>
              <w:left w:val="single" w:color="auto" w:sz="8" w:space="0"/>
              <w:bottom w:val="single" w:color="auto" w:sz="8" w:space="0"/>
              <w:right w:val="single" w:color="auto" w:sz="8" w:space="0"/>
            </w:tcBorders>
            <w:vAlign w:val="bottom"/>
          </w:tcPr>
          <w:p>
            <w:pPr>
              <w:rPr>
                <w:rFonts w:ascii="宋体" w:hAnsi="宋体" w:eastAsia="宋体" w:cs="宋体"/>
                <w:b/>
                <w:bCs/>
                <w:sz w:val="24"/>
                <w:szCs w:val="24"/>
              </w:rPr>
            </w:pP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4</w:t>
            </w:r>
          </w:p>
        </w:tc>
        <w:tc>
          <w:tcPr>
            <w:tcW w:w="241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电子时钟管理平台</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1</w:t>
            </w: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136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否</w:t>
            </w:r>
          </w:p>
        </w:tc>
      </w:tr>
      <w:tr>
        <w:tblPrEx>
          <w:tblCellMar>
            <w:top w:w="0" w:type="dxa"/>
            <w:left w:w="0" w:type="dxa"/>
            <w:bottom w:w="0" w:type="dxa"/>
            <w:right w:w="0" w:type="dxa"/>
          </w:tblCellMar>
        </w:tblPrEx>
        <w:trPr>
          <w:trHeight w:val="420" w:hRule="atLeast"/>
          <w:tblHeader/>
          <w:jc w:val="center"/>
        </w:trPr>
        <w:tc>
          <w:tcPr>
            <w:tcW w:w="0" w:type="auto"/>
            <w:vMerge w:val="continue"/>
            <w:tcBorders>
              <w:top w:val="nil"/>
              <w:left w:val="single" w:color="auto" w:sz="8" w:space="0"/>
              <w:bottom w:val="single" w:color="auto" w:sz="8" w:space="0"/>
              <w:right w:val="single" w:color="auto" w:sz="8" w:space="0"/>
            </w:tcBorders>
            <w:vAlign w:val="bottom"/>
          </w:tcPr>
          <w:p>
            <w:pPr>
              <w:rPr>
                <w:rFonts w:ascii="宋体" w:hAnsi="宋体" w:eastAsia="宋体" w:cs="宋体"/>
                <w:b/>
                <w:bCs/>
                <w:sz w:val="24"/>
                <w:szCs w:val="24"/>
              </w:rPr>
            </w:pP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5</w:t>
            </w:r>
          </w:p>
        </w:tc>
        <w:tc>
          <w:tcPr>
            <w:tcW w:w="241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电子时钟显示终端</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168</w:t>
            </w: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136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否</w:t>
            </w:r>
          </w:p>
        </w:tc>
      </w:tr>
      <w:tr>
        <w:tblPrEx>
          <w:tblCellMar>
            <w:top w:w="0" w:type="dxa"/>
            <w:left w:w="0" w:type="dxa"/>
            <w:bottom w:w="0" w:type="dxa"/>
            <w:right w:w="0" w:type="dxa"/>
          </w:tblCellMar>
        </w:tblPrEx>
        <w:trPr>
          <w:trHeight w:val="711" w:hRule="atLeast"/>
          <w:tblHeader/>
          <w:jc w:val="center"/>
        </w:trPr>
        <w:tc>
          <w:tcPr>
            <w:tcW w:w="0" w:type="auto"/>
            <w:vMerge w:val="continue"/>
            <w:tcBorders>
              <w:top w:val="nil"/>
              <w:left w:val="single" w:color="auto" w:sz="8" w:space="0"/>
              <w:bottom w:val="single" w:color="auto" w:sz="8" w:space="0"/>
              <w:right w:val="single" w:color="auto" w:sz="8" w:space="0"/>
            </w:tcBorders>
            <w:vAlign w:val="bottom"/>
          </w:tcPr>
          <w:p>
            <w:pPr>
              <w:rPr>
                <w:rFonts w:ascii="宋体" w:hAnsi="宋体" w:eastAsia="宋体" w:cs="宋体"/>
                <w:b/>
                <w:bCs/>
                <w:sz w:val="24"/>
                <w:szCs w:val="24"/>
              </w:rPr>
            </w:pP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6</w:t>
            </w:r>
          </w:p>
        </w:tc>
        <w:tc>
          <w:tcPr>
            <w:tcW w:w="241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录播系统电子时钟</w:t>
            </w:r>
            <w:r>
              <w:rPr>
                <w:b/>
                <w:bCs/>
              </w:rPr>
              <w:br w:type="textWrapping"/>
            </w:r>
            <w:r>
              <w:rPr>
                <w:b/>
                <w:bCs/>
              </w:rPr>
              <w:t>显示终端</w:t>
            </w:r>
            <w:r>
              <w:rPr>
                <w:b/>
                <w:bCs/>
              </w:rPr>
              <w:br w:type="textWrapping"/>
            </w:r>
            <w:r>
              <w:rPr>
                <w:b/>
                <w:bCs/>
              </w:rPr>
              <w:t>（核心设备）</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48</w:t>
            </w: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136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否</w:t>
            </w:r>
          </w:p>
        </w:tc>
      </w:tr>
      <w:tr>
        <w:tblPrEx>
          <w:tblCellMar>
            <w:top w:w="0" w:type="dxa"/>
            <w:left w:w="0" w:type="dxa"/>
            <w:bottom w:w="0" w:type="dxa"/>
            <w:right w:w="0" w:type="dxa"/>
          </w:tblCellMar>
        </w:tblPrEx>
        <w:trPr>
          <w:trHeight w:val="420" w:hRule="atLeast"/>
          <w:tblHeader/>
          <w:jc w:val="center"/>
        </w:trPr>
        <w:tc>
          <w:tcPr>
            <w:tcW w:w="0" w:type="auto"/>
            <w:vMerge w:val="continue"/>
            <w:tcBorders>
              <w:top w:val="nil"/>
              <w:left w:val="single" w:color="auto" w:sz="8" w:space="0"/>
              <w:bottom w:val="single" w:color="auto" w:sz="8" w:space="0"/>
              <w:right w:val="single" w:color="auto" w:sz="8" w:space="0"/>
            </w:tcBorders>
            <w:vAlign w:val="bottom"/>
          </w:tcPr>
          <w:p>
            <w:pPr>
              <w:rPr>
                <w:rFonts w:ascii="宋体" w:hAnsi="宋体" w:eastAsia="宋体" w:cs="宋体"/>
                <w:b/>
                <w:bCs/>
                <w:sz w:val="24"/>
                <w:szCs w:val="24"/>
              </w:rPr>
            </w:pP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7</w:t>
            </w:r>
          </w:p>
        </w:tc>
        <w:tc>
          <w:tcPr>
            <w:tcW w:w="241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系统集成服务</w:t>
            </w:r>
          </w:p>
        </w:tc>
        <w:tc>
          <w:tcPr>
            <w:tcW w:w="127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110</w:t>
            </w: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0" w:type="auto"/>
            <w:vMerge w:val="continue"/>
            <w:tcBorders>
              <w:top w:val="nil"/>
              <w:left w:val="nil"/>
              <w:bottom w:val="single" w:color="auto" w:sz="8" w:space="0"/>
              <w:right w:val="single" w:color="auto" w:sz="8" w:space="0"/>
            </w:tcBorders>
            <w:vAlign w:val="bottom"/>
          </w:tcPr>
          <w:p>
            <w:pPr>
              <w:rPr>
                <w:rFonts w:ascii="宋体" w:hAnsi="宋体" w:eastAsia="宋体" w:cs="宋体"/>
                <w:b/>
                <w:bCs/>
                <w:sz w:val="24"/>
                <w:szCs w:val="24"/>
              </w:rPr>
            </w:pPr>
          </w:p>
        </w:tc>
        <w:tc>
          <w:tcPr>
            <w:tcW w:w="1365" w:type="dxa"/>
            <w:tcBorders>
              <w:top w:val="nil"/>
              <w:left w:val="nil"/>
              <w:bottom w:val="single" w:color="auto" w:sz="8" w:space="0"/>
              <w:right w:val="single" w:color="auto" w:sz="8" w:space="0"/>
            </w:tcBorders>
            <w:tcMar>
              <w:top w:w="0" w:type="dxa"/>
              <w:left w:w="108" w:type="dxa"/>
              <w:bottom w:w="0" w:type="dxa"/>
              <w:right w:w="108" w:type="dxa"/>
            </w:tcMar>
            <w:vAlign w:val="bottom"/>
          </w:tcPr>
          <w:p>
            <w:pPr>
              <w:pStyle w:val="6"/>
              <w:spacing w:before="75" w:beforeAutospacing="0" w:after="330" w:afterAutospacing="0"/>
              <w:jc w:val="center"/>
              <w:textAlignment w:val="baseline"/>
              <w:rPr>
                <w:b/>
                <w:bCs/>
              </w:rPr>
            </w:pPr>
            <w:r>
              <w:rPr>
                <w:b/>
                <w:bCs/>
              </w:rPr>
              <w:t>否</w:t>
            </w:r>
          </w:p>
        </w:tc>
      </w:tr>
    </w:tbl>
    <w:p>
      <w:pPr>
        <w:shd w:val="clear" w:color="auto" w:fill="FFFFFF"/>
        <w:spacing w:line="480" w:lineRule="atLeast"/>
        <w:textAlignment w:val="baseline"/>
        <w:rPr>
          <w:rFonts w:ascii="inherit" w:hAnsi="inherit" w:eastAsia="微软雅黑"/>
          <w:color w:val="383838"/>
        </w:rPr>
      </w:pPr>
      <w:r>
        <w:rPr>
          <w:rFonts w:hint="eastAsia" w:ascii="微软雅黑" w:hAnsi="微软雅黑" w:eastAsia="微软雅黑"/>
          <w:color w:val="404040"/>
          <w:sz w:val="18"/>
          <w:szCs w:val="18"/>
          <w:shd w:val="clear" w:color="auto" w:fill="F9F9FD"/>
        </w:rPr>
        <w:t>简要技术需求：详见附件</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合同履行期限：交货期（含安装）：签订合同之日起60天内</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本项目( 不接受  )联合体投标。</w:t>
      </w:r>
    </w:p>
    <w:p>
      <w:pPr>
        <w:pStyle w:val="6"/>
        <w:shd w:val="clear" w:color="auto" w:fill="FFFFFF"/>
        <w:spacing w:before="0" w:beforeAutospacing="0" w:after="0" w:afterAutospacing="0" w:line="480" w:lineRule="atLeast"/>
        <w:textAlignment w:val="baseline"/>
        <w:rPr>
          <w:rFonts w:ascii="inherit" w:hAnsi="inherit" w:eastAsia="微软雅黑"/>
          <w:color w:val="383838"/>
        </w:rPr>
      </w:pPr>
      <w:r>
        <w:rPr>
          <w:rStyle w:val="9"/>
          <w:rFonts w:ascii="inherit" w:hAnsi="inherit" w:eastAsia="微软雅黑"/>
          <w:color w:val="383838"/>
        </w:rPr>
        <w:t>二、申请人的资格要求：</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1.满足《中华人民共和国政府采购法》第二十二条规定；</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2.落实政府采购政策需满足的资格要求：</w:t>
      </w:r>
    </w:p>
    <w:p>
      <w:pPr>
        <w:pStyle w:val="6"/>
        <w:shd w:val="clear" w:color="auto" w:fill="FFFFFF"/>
        <w:spacing w:before="0" w:beforeAutospacing="0" w:after="60" w:afterAutospacing="0" w:line="360" w:lineRule="atLeast"/>
        <w:ind w:left="422"/>
        <w:textAlignment w:val="baseline"/>
        <w:rPr>
          <w:rFonts w:ascii="inherit" w:hAnsi="inherit" w:eastAsia="微软雅黑"/>
          <w:color w:val="383838"/>
        </w:rPr>
      </w:pPr>
      <w:r>
        <w:rPr>
          <w:rFonts w:ascii="inherit" w:hAnsi="inherit" w:eastAsia="微软雅黑"/>
          <w:color w:val="383838"/>
        </w:rPr>
        <w:t>1）在中华人民共和国境内注册，能够独立承担民事责任，有生产或供应能力的本国供应商，包括法人、其他组织、自然人。</w:t>
      </w:r>
    </w:p>
    <w:p>
      <w:pPr>
        <w:pStyle w:val="6"/>
        <w:shd w:val="clear" w:color="auto" w:fill="FFFFFF"/>
        <w:spacing w:before="0" w:beforeAutospacing="0" w:after="60" w:afterAutospacing="0" w:line="360" w:lineRule="atLeast"/>
        <w:ind w:left="422"/>
        <w:textAlignment w:val="baseline"/>
        <w:rPr>
          <w:rFonts w:ascii="inherit" w:hAnsi="inherit" w:eastAsia="微软雅黑"/>
          <w:color w:val="383838"/>
        </w:rPr>
      </w:pPr>
      <w:r>
        <w:rPr>
          <w:rFonts w:ascii="inherit" w:hAnsi="inherit" w:eastAsia="微软雅黑"/>
          <w:color w:val="383838"/>
        </w:rPr>
        <w:t>2）遵守国家有关法律、法规、规章和政府采购有关的规章，具有良好的商业信誉和健全的财务会计制度。</w:t>
      </w:r>
    </w:p>
    <w:p>
      <w:pPr>
        <w:pStyle w:val="6"/>
        <w:shd w:val="clear" w:color="auto" w:fill="FFFFFF"/>
        <w:spacing w:before="0" w:beforeAutospacing="0" w:after="60" w:afterAutospacing="0" w:line="360" w:lineRule="atLeast"/>
        <w:ind w:left="422"/>
        <w:textAlignment w:val="baseline"/>
        <w:rPr>
          <w:rFonts w:ascii="inherit" w:hAnsi="inherit" w:eastAsia="微软雅黑"/>
          <w:color w:val="383838"/>
        </w:rPr>
      </w:pPr>
      <w:r>
        <w:rPr>
          <w:rFonts w:ascii="inherit" w:hAnsi="inherit" w:eastAsia="微软雅黑"/>
          <w:color w:val="383838"/>
        </w:rPr>
        <w:t>3）具有履行合同所必需的设备和专业技术能力。</w:t>
      </w:r>
    </w:p>
    <w:p>
      <w:pPr>
        <w:pStyle w:val="6"/>
        <w:shd w:val="clear" w:color="auto" w:fill="FFFFFF"/>
        <w:spacing w:before="0" w:beforeAutospacing="0" w:after="60" w:afterAutospacing="0" w:line="360" w:lineRule="atLeast"/>
        <w:ind w:left="422"/>
        <w:textAlignment w:val="baseline"/>
        <w:rPr>
          <w:rFonts w:ascii="inherit" w:hAnsi="inherit" w:eastAsia="微软雅黑"/>
          <w:color w:val="383838"/>
        </w:rPr>
      </w:pPr>
      <w:r>
        <w:rPr>
          <w:rFonts w:ascii="inherit" w:hAnsi="inherit" w:eastAsia="微软雅黑"/>
          <w:color w:val="383838"/>
        </w:rPr>
        <w:t>4）有依法缴纳税收和社会保障资金的良好记录。</w:t>
      </w:r>
    </w:p>
    <w:p>
      <w:pPr>
        <w:pStyle w:val="6"/>
        <w:shd w:val="clear" w:color="auto" w:fill="FFFFFF"/>
        <w:spacing w:before="0" w:beforeAutospacing="0" w:after="60" w:afterAutospacing="0" w:line="360" w:lineRule="atLeast"/>
        <w:ind w:left="422"/>
        <w:textAlignment w:val="baseline"/>
        <w:rPr>
          <w:rFonts w:ascii="inherit" w:hAnsi="inherit" w:eastAsia="微软雅黑"/>
          <w:color w:val="383838"/>
        </w:rPr>
      </w:pPr>
      <w:r>
        <w:rPr>
          <w:rFonts w:ascii="inherit" w:hAnsi="inherit" w:eastAsia="微软雅黑"/>
          <w:color w:val="383838"/>
        </w:rPr>
        <w:t>5）参加政府采购活动前三年内，在经营活动中没有重大违法记录。</w:t>
      </w:r>
    </w:p>
    <w:p>
      <w:pPr>
        <w:pStyle w:val="6"/>
        <w:shd w:val="clear" w:color="auto" w:fill="FFFFFF"/>
        <w:spacing w:before="0" w:beforeAutospacing="0" w:after="60" w:afterAutospacing="0" w:line="360" w:lineRule="atLeast"/>
        <w:ind w:left="422"/>
        <w:textAlignment w:val="baseline"/>
        <w:rPr>
          <w:rFonts w:ascii="inherit" w:hAnsi="inherit" w:eastAsia="微软雅黑"/>
          <w:color w:val="383838"/>
        </w:rPr>
      </w:pPr>
      <w:r>
        <w:rPr>
          <w:rFonts w:ascii="inherit" w:hAnsi="inherit" w:eastAsia="微软雅黑"/>
          <w:color w:val="383838"/>
        </w:rPr>
        <w:t>6）供应商不能被列入“信用中国”网站（www.creditchina.gov.cn）和中国政府采购网（www.ccgp.gov.cn）失信被执行人、重大税收违法案件当事人名单、政府采购严重违法失信行为记录名单。</w:t>
      </w:r>
    </w:p>
    <w:p>
      <w:pPr>
        <w:pStyle w:val="6"/>
        <w:shd w:val="clear" w:color="auto" w:fill="FFFFFF"/>
        <w:spacing w:before="0" w:beforeAutospacing="0" w:after="60" w:afterAutospacing="0" w:line="360" w:lineRule="atLeast"/>
        <w:ind w:left="422"/>
        <w:textAlignment w:val="baseline"/>
        <w:rPr>
          <w:rFonts w:ascii="inherit" w:hAnsi="inherit" w:eastAsia="微软雅黑"/>
          <w:color w:val="383838"/>
        </w:rPr>
      </w:pPr>
      <w:r>
        <w:rPr>
          <w:rFonts w:ascii="inherit" w:hAnsi="inherit" w:eastAsia="微软雅黑"/>
          <w:color w:val="383838"/>
        </w:rPr>
        <w:t>7）向采购代理机构购买招标文件并登记备案。</w:t>
      </w:r>
    </w:p>
    <w:p>
      <w:pPr>
        <w:pStyle w:val="6"/>
        <w:shd w:val="clear" w:color="auto" w:fill="FFFFFF"/>
        <w:spacing w:before="0" w:beforeAutospacing="0" w:after="60" w:afterAutospacing="0" w:line="360" w:lineRule="atLeast"/>
        <w:ind w:left="422"/>
        <w:textAlignment w:val="baseline"/>
        <w:rPr>
          <w:rFonts w:ascii="inherit" w:hAnsi="inherit" w:eastAsia="微软雅黑"/>
          <w:color w:val="383838"/>
        </w:rPr>
      </w:pPr>
      <w:r>
        <w:rPr>
          <w:rFonts w:ascii="inherit" w:hAnsi="inherit" w:eastAsia="微软雅黑"/>
          <w:color w:val="383838"/>
        </w:rPr>
        <w:t>8）本项目不接受联合体投标，不允许分包、转包。</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     </w:t>
      </w:r>
      <w:bookmarkStart w:id="1" w:name="_GoBack"/>
      <w:bookmarkEnd w:id="1"/>
      <w:r>
        <w:rPr>
          <w:rFonts w:ascii="inherit" w:hAnsi="inherit" w:eastAsia="微软雅黑"/>
          <w:color w:val="383838"/>
        </w:rPr>
        <w:t> 9）本项目接受货物代理商投标。</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3.本项目的特定资格要求：无</w:t>
      </w:r>
    </w:p>
    <w:p>
      <w:pPr>
        <w:pStyle w:val="6"/>
        <w:shd w:val="clear" w:color="auto" w:fill="FFFFFF"/>
        <w:spacing w:before="0" w:beforeAutospacing="0" w:after="0" w:afterAutospacing="0" w:line="480" w:lineRule="atLeast"/>
        <w:textAlignment w:val="baseline"/>
        <w:rPr>
          <w:rFonts w:ascii="inherit" w:hAnsi="inherit" w:eastAsia="微软雅黑"/>
          <w:color w:val="383838"/>
        </w:rPr>
      </w:pPr>
      <w:r>
        <w:rPr>
          <w:rStyle w:val="9"/>
          <w:rFonts w:ascii="inherit" w:hAnsi="inherit" w:eastAsia="微软雅黑"/>
          <w:color w:val="383838"/>
        </w:rPr>
        <w:t>三、获取招标文件</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时间：2020年07月27日  至 2020年08月03日（提供期限自本公告发布之日起不得少于5个工作日），每天上午9:00至11:30，下午13:30至16:30。（北京时间，法定节假日除外）</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地点：北京市海淀区文慧园北路10号，中教仪总公司北师大办公楼509室</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方式：现场购买或邮购。若邮件购买标书请按本公告其他补充事宜中所述我公司账户信息汇款，只接受对公账户汇款，随后将汇款底单、购买标书登记表、购买标书所需材料彩色电子扫描件发送邮件至xiejie59893114@126.com并及时联系我公司确认。</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售价：￥500.0 元，本公告包含的招标文件售价总和</w:t>
      </w:r>
    </w:p>
    <w:p>
      <w:pPr>
        <w:pStyle w:val="6"/>
        <w:shd w:val="clear" w:color="auto" w:fill="FFFFFF"/>
        <w:spacing w:before="0" w:beforeAutospacing="0" w:after="0" w:afterAutospacing="0" w:line="480" w:lineRule="atLeast"/>
        <w:textAlignment w:val="baseline"/>
        <w:rPr>
          <w:rFonts w:ascii="inherit" w:hAnsi="inherit" w:eastAsia="微软雅黑"/>
          <w:color w:val="383838"/>
        </w:rPr>
      </w:pPr>
      <w:r>
        <w:rPr>
          <w:rStyle w:val="9"/>
          <w:rFonts w:ascii="inherit" w:hAnsi="inherit" w:eastAsia="微软雅黑"/>
          <w:color w:val="383838"/>
        </w:rPr>
        <w:t>四、提交投标文件截止时间、开标时间和地点</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2020年08月18日 09点00分（北京时间）（自招标文件开始发出之日起至投标人提交投标文件截止之日止，不得少于20日）</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地点：北京市海淀区文慧园北路10号中教仪办公楼4会议室</w:t>
      </w:r>
    </w:p>
    <w:p>
      <w:pPr>
        <w:pStyle w:val="6"/>
        <w:shd w:val="clear" w:color="auto" w:fill="FFFFFF"/>
        <w:spacing w:before="0" w:beforeAutospacing="0" w:after="0" w:afterAutospacing="0" w:line="480" w:lineRule="atLeast"/>
        <w:textAlignment w:val="baseline"/>
        <w:rPr>
          <w:rFonts w:ascii="inherit" w:hAnsi="inherit" w:eastAsia="微软雅黑"/>
          <w:color w:val="383838"/>
        </w:rPr>
      </w:pPr>
      <w:r>
        <w:rPr>
          <w:rStyle w:val="9"/>
          <w:rFonts w:ascii="inherit" w:hAnsi="inherit" w:eastAsia="微软雅黑"/>
          <w:color w:val="383838"/>
        </w:rPr>
        <w:t>五、公告期限</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自本公告发布之日起5个工作日。</w:t>
      </w:r>
    </w:p>
    <w:p>
      <w:pPr>
        <w:pStyle w:val="6"/>
        <w:shd w:val="clear" w:color="auto" w:fill="FFFFFF"/>
        <w:spacing w:before="0" w:beforeAutospacing="0" w:after="0" w:afterAutospacing="0" w:line="480" w:lineRule="atLeast"/>
        <w:textAlignment w:val="baseline"/>
        <w:rPr>
          <w:rFonts w:ascii="inherit" w:hAnsi="inherit" w:eastAsia="微软雅黑"/>
          <w:color w:val="383838"/>
        </w:rPr>
      </w:pPr>
      <w:r>
        <w:rPr>
          <w:rStyle w:val="9"/>
          <w:rFonts w:ascii="inherit" w:hAnsi="inherit" w:eastAsia="微软雅黑"/>
          <w:color w:val="383838"/>
        </w:rPr>
        <w:t>六、其他补充事宜</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1.购买招标文件时须携带以下材料：</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（1）投标人需开具针对本项目的法人代表授权委托书原件。</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（2）被授权人身份证复印件，并加盖公章。</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（3）营业执照复印件并加盖公章。</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4）购买标书登记表详见招标公告附件，自行下载后填写。（邮件购买的须扫描上述4项材料一起发送至xiejie59893114@126.com。因特殊时期，建议以邮件方式进行购买。如果有特殊情况需要联系工作人员，可通过邮件形式进行联系，谢谢理解！）</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2.收取标书费、投标保证金的账号信息：</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开 户 名：北京中教仪国际招标代理有限公司</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开户行：广发银行建国路支行</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帐 号：6232593799002472309</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注：请投标人在汇款时务必注明所投标项目的项目编号及用途，否则，因款项用途不明导致投标无效等后果由投标人自行承担；不接受个人帐户汇款。</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3.本项目不接受进口产品投标。</w:t>
      </w:r>
    </w:p>
    <w:p>
      <w:pPr>
        <w:pStyle w:val="6"/>
        <w:shd w:val="clear" w:color="auto" w:fill="FFFFFF"/>
        <w:spacing w:before="0" w:beforeAutospacing="0" w:after="0" w:afterAutospacing="0" w:line="480" w:lineRule="atLeast"/>
        <w:textAlignment w:val="baseline"/>
        <w:rPr>
          <w:rFonts w:ascii="inherit" w:hAnsi="inherit" w:eastAsia="微软雅黑"/>
          <w:color w:val="383838"/>
        </w:rPr>
      </w:pPr>
      <w:r>
        <w:rPr>
          <w:rFonts w:ascii="inherit" w:hAnsi="inherit" w:eastAsia="微软雅黑"/>
          <w:color w:val="383838"/>
        </w:rPr>
        <w:t>4.本项目招标编号：</w:t>
      </w:r>
      <w:r>
        <w:rPr>
          <w:rStyle w:val="9"/>
          <w:rFonts w:ascii="inherit" w:hAnsi="inherit" w:eastAsia="微软雅黑"/>
          <w:color w:val="383838"/>
        </w:rPr>
        <w:t>BUCTXXQWZ20200401（0873-2001HW3L0213）</w:t>
      </w:r>
    </w:p>
    <w:p>
      <w:pPr>
        <w:pStyle w:val="6"/>
        <w:shd w:val="clear" w:color="auto" w:fill="FFFFFF"/>
        <w:spacing w:before="0" w:beforeAutospacing="0" w:after="0" w:afterAutospacing="0" w:line="480" w:lineRule="atLeast"/>
        <w:textAlignment w:val="baseline"/>
        <w:rPr>
          <w:rFonts w:ascii="inherit" w:hAnsi="inherit" w:eastAsia="微软雅黑"/>
          <w:color w:val="383838"/>
        </w:rPr>
      </w:pPr>
      <w:r>
        <w:rPr>
          <w:rStyle w:val="9"/>
          <w:rFonts w:ascii="inherit" w:hAnsi="inherit" w:eastAsia="微软雅黑"/>
          <w:color w:val="383838"/>
        </w:rPr>
        <w:t>七、对本次招标提出询问，请按以下方式联系。</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1.采购人信息</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名 称：北京化工大学　　　　　</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地址：北京市朝阳区北三环东路15号　　　　　　　　</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联系方式：梁老师，010-64433870　　　　　　</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2.采购代理机构信息</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名 称：北京中教仪国际招标代理有限公司　　　　　　　　　　　　</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地　址：北京市海淀区文慧园北路10号中教仪办公楼509办公室　　　　　　　　　　　　</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联系方式：谢杰、施歌、俞学东、陈思佳010-59893114、010-59893131、010-59893122　　　　　　　　　　　　</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3.项目联系方式</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项目联系人：谢杰、施歌、俞学东、陈思佳</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电　话：　　010-59893114、010-59893131、010-59893122</w:t>
      </w:r>
    </w:p>
    <w:p>
      <w:pPr>
        <w:shd w:val="clear" w:color="auto" w:fill="FFFFFF"/>
        <w:spacing w:line="480" w:lineRule="atLeast"/>
        <w:textAlignment w:val="baseline"/>
        <w:rPr>
          <w:rFonts w:ascii="inherit" w:hAnsi="inherit" w:eastAsia="微软雅黑"/>
          <w:color w:val="383838"/>
        </w:rPr>
      </w:pPr>
      <w:r>
        <w:rPr>
          <w:rFonts w:ascii="inherit" w:hAnsi="inherit" w:eastAsia="微软雅黑"/>
          <w:color w:val="383838"/>
        </w:rPr>
        <w:t>　</w:t>
      </w:r>
    </w:p>
    <w:p>
      <w:pPr>
        <w:pStyle w:val="6"/>
        <w:shd w:val="clear" w:color="auto" w:fill="FFFFFF"/>
        <w:spacing w:before="75" w:beforeAutospacing="0" w:after="330" w:afterAutospacing="0" w:line="480" w:lineRule="atLeast"/>
        <w:textAlignment w:val="baseline"/>
        <w:rPr>
          <w:rFonts w:ascii="inherit" w:hAnsi="inherit" w:eastAsia="微软雅黑"/>
          <w:color w:val="383838"/>
        </w:rPr>
      </w:pPr>
      <w:r>
        <w:rPr>
          <w:rFonts w:ascii="inherit" w:hAnsi="inherit" w:eastAsia="微软雅黑"/>
          <w:color w:val="383838"/>
        </w:rPr>
        <w:t>    附件：</w:t>
      </w:r>
    </w:p>
    <w:p>
      <w:pPr>
        <w:shd w:val="clear" w:color="auto" w:fill="FFFFFF"/>
        <w:spacing w:line="480" w:lineRule="atLeast"/>
        <w:textAlignment w:val="baseline"/>
        <w:rPr>
          <w:rFonts w:ascii="inherit" w:hAnsi="inherit" w:eastAsia="微软雅黑"/>
          <w:color w:val="383838"/>
        </w:rPr>
      </w:pPr>
      <w:r>
        <w:rPr>
          <w:rFonts w:ascii="inherit" w:hAnsi="inherit" w:eastAsia="微软雅黑"/>
          <w:color w:val="383838"/>
        </w:rPr>
        <w:t>    （1）</w:t>
      </w:r>
      <w:r>
        <w:fldChar w:fldCharType="begin"/>
      </w:r>
      <w:r>
        <w:instrText xml:space="preserve"> HYPERLINK "http://ncpms.ccgp.gov.cn/oss/download?uuid=3CAD71ECDF1F5A18C32C235881E7A4" </w:instrText>
      </w:r>
      <w:r>
        <w:fldChar w:fldCharType="separate"/>
      </w:r>
      <w:r>
        <w:rPr>
          <w:rStyle w:val="10"/>
          <w:rFonts w:hint="eastAsia" w:ascii="微软雅黑" w:hAnsi="微软雅黑" w:eastAsia="微软雅黑"/>
          <w:color w:val="02396F"/>
          <w:szCs w:val="21"/>
        </w:rPr>
        <w:t>参数.pdf；</w:t>
      </w:r>
      <w:r>
        <w:rPr>
          <w:rStyle w:val="10"/>
          <w:rFonts w:hint="eastAsia" w:ascii="微软雅黑" w:hAnsi="微软雅黑" w:eastAsia="微软雅黑"/>
          <w:color w:val="02396F"/>
          <w:szCs w:val="21"/>
        </w:rPr>
        <w:fldChar w:fldCharType="end"/>
      </w:r>
      <w:r>
        <w:rPr>
          <w:rFonts w:ascii="inherit" w:hAnsi="inherit" w:eastAsia="微软雅黑"/>
          <w:color w:val="383838"/>
        </w:rPr>
        <w:t>     （2）</w:t>
      </w:r>
      <w:r>
        <w:fldChar w:fldCharType="begin"/>
      </w:r>
      <w:r>
        <w:instrText xml:space="preserve"> HYPERLINK "http://ncpms.ccgp.gov.cn/oss/download?uuid=70BACC86EF8C803C359C17D425C71A" </w:instrText>
      </w:r>
      <w:r>
        <w:fldChar w:fldCharType="separate"/>
      </w:r>
      <w:r>
        <w:rPr>
          <w:rStyle w:val="10"/>
          <w:rFonts w:hint="eastAsia" w:ascii="微软雅黑" w:hAnsi="微软雅黑" w:eastAsia="微软雅黑"/>
          <w:color w:val="02396F"/>
          <w:szCs w:val="21"/>
        </w:rPr>
        <w:t>购买标书情况表213.pdf；</w:t>
      </w:r>
      <w:r>
        <w:rPr>
          <w:rStyle w:val="10"/>
          <w:rFonts w:hint="eastAsia" w:ascii="微软雅黑" w:hAnsi="微软雅黑" w:eastAsia="微软雅黑"/>
          <w:color w:val="02396F"/>
          <w:szCs w:val="21"/>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inherit">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C8"/>
    <w:rsid w:val="003275C8"/>
    <w:rsid w:val="00386AC3"/>
    <w:rsid w:val="004C7379"/>
    <w:rsid w:val="00800A2C"/>
    <w:rsid w:val="00DE264C"/>
    <w:rsid w:val="02A1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标题 2 字符"/>
    <w:basedOn w:val="8"/>
    <w:link w:val="2"/>
    <w:uiPriority w:val="9"/>
    <w:rPr>
      <w:rFonts w:ascii="宋体" w:hAnsi="宋体" w:eastAsia="宋体" w:cs="宋体"/>
      <w:b/>
      <w:bCs/>
      <w:kern w:val="0"/>
      <w:sz w:val="36"/>
      <w:szCs w:val="36"/>
    </w:rPr>
  </w:style>
  <w:style w:type="character" w:customStyle="1" w:styleId="12">
    <w:name w:val="标题 3 字符"/>
    <w:basedOn w:val="8"/>
    <w:link w:val="3"/>
    <w:uiPriority w:val="9"/>
    <w:rPr>
      <w:rFonts w:ascii="宋体" w:hAnsi="宋体" w:eastAsia="宋体" w:cs="宋体"/>
      <w:b/>
      <w:bCs/>
      <w:kern w:val="0"/>
      <w:sz w:val="27"/>
      <w:szCs w:val="27"/>
    </w:rPr>
  </w:style>
  <w:style w:type="paragraph" w:customStyle="1" w:styleId="13">
    <w:name w:val="tc"/>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displayarti"/>
    <w:basedOn w:val="8"/>
    <w:uiPriority w:val="0"/>
  </w:style>
  <w:style w:type="character" w:customStyle="1" w:styleId="15">
    <w:name w:val="页眉 字符"/>
    <w:basedOn w:val="8"/>
    <w:link w:val="5"/>
    <w:uiPriority w:val="99"/>
    <w:rPr>
      <w:sz w:val="18"/>
      <w:szCs w:val="18"/>
    </w:rPr>
  </w:style>
  <w:style w:type="character" w:customStyle="1" w:styleId="16">
    <w:name w:val="页脚 字符"/>
    <w:basedOn w:val="8"/>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361</Words>
  <Characters>2059</Characters>
  <Lines>17</Lines>
  <Paragraphs>4</Paragraphs>
  <TotalTime>2</TotalTime>
  <ScaleCrop>false</ScaleCrop>
  <LinksUpToDate>false</LinksUpToDate>
  <CharactersWithSpaces>2416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2020-07-27T03:09:00Z</dcterms:created>
  <dc:creator>施 歌</dc:creator>
  <cp:lastModifiedBy>谢杰</cp:lastModifiedBy>
  <dcterms:modified xsi:type="dcterms:W3CDTF">2020-07-27T03:58:35Z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